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</w:t>
      </w:r>
      <w:bookmarkStart w:id="0" w:name="_GoBack"/>
      <w:bookmarkEnd w:id="0"/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0CC202D0" w14:textId="77777777" w:rsidTr="009824C9">
        <w:tc>
          <w:tcPr>
            <w:tcW w:w="2830" w:type="dxa"/>
          </w:tcPr>
          <w:p w14:paraId="6D1105A8" w14:textId="76F219E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2D67C3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67C3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B962" w14:textId="77777777" w:rsidR="003F0E4D" w:rsidRDefault="003F0E4D" w:rsidP="007B1EE9">
      <w:r>
        <w:separator/>
      </w:r>
    </w:p>
    <w:p w14:paraId="38FBC629" w14:textId="77777777" w:rsidR="003F0E4D" w:rsidRDefault="003F0E4D"/>
  </w:endnote>
  <w:endnote w:type="continuationSeparator" w:id="0">
    <w:p w14:paraId="18BA1B56" w14:textId="77777777" w:rsidR="003F0E4D" w:rsidRDefault="003F0E4D" w:rsidP="007B1EE9">
      <w:r>
        <w:continuationSeparator/>
      </w:r>
    </w:p>
    <w:p w14:paraId="36B780B1" w14:textId="77777777" w:rsidR="003F0E4D" w:rsidRDefault="003F0E4D"/>
  </w:endnote>
  <w:endnote w:type="continuationNotice" w:id="1">
    <w:p w14:paraId="41392AFB" w14:textId="77777777" w:rsidR="003F0E4D" w:rsidRDefault="003F0E4D">
      <w:pPr>
        <w:spacing w:after="0" w:line="240" w:lineRule="auto"/>
      </w:pPr>
    </w:p>
    <w:p w14:paraId="4932C131" w14:textId="77777777" w:rsidR="003F0E4D" w:rsidRDefault="003F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7F181F5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AF21A2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AF21A2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C66A" w14:textId="77777777" w:rsidR="003F0E4D" w:rsidRDefault="003F0E4D" w:rsidP="003212B5">
      <w:r>
        <w:separator/>
      </w:r>
    </w:p>
  </w:footnote>
  <w:footnote w:type="continuationSeparator" w:id="0">
    <w:p w14:paraId="4EB32949" w14:textId="77777777" w:rsidR="003F0E4D" w:rsidRDefault="003F0E4D" w:rsidP="003212B5">
      <w:r>
        <w:continuationSeparator/>
      </w:r>
    </w:p>
  </w:footnote>
  <w:footnote w:type="continuationNotice" w:id="1">
    <w:p w14:paraId="20973A83" w14:textId="77777777" w:rsidR="003F0E4D" w:rsidRDefault="003F0E4D">
      <w:pPr>
        <w:spacing w:after="0" w:line="240" w:lineRule="auto"/>
      </w:pPr>
    </w:p>
    <w:p w14:paraId="64AC729A" w14:textId="77777777" w:rsidR="003F0E4D" w:rsidRDefault="003F0E4D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30BA" w14:textId="0BD12AE5" w:rsidR="00AF21A2" w:rsidRDefault="00370ED4" w:rsidP="002B66D6">
    <w:pPr>
      <w:pStyle w:val="Zhlav"/>
      <w:tabs>
        <w:tab w:val="left" w:pos="8222"/>
      </w:tabs>
    </w:pPr>
    <w:r>
      <w:rPr>
        <w:noProof/>
        <w:lang w:eastAsia="cs-CZ"/>
      </w:rPr>
      <w:t>P</w:t>
    </w:r>
    <w:r w:rsidR="00AF21A2">
      <w:rPr>
        <w:noProof/>
        <w:lang w:eastAsia="cs-CZ"/>
      </w:rPr>
      <w:t>říloha č. 3</w:t>
    </w:r>
    <w:r>
      <w:rPr>
        <w:noProof/>
        <w:lang w:eastAsia="cs-CZ"/>
      </w:rPr>
      <w:t xml:space="preserve"> Výzvy</w:t>
    </w:r>
    <w:r w:rsidR="002D67C3">
      <w:rPr>
        <w:noProof/>
        <w:lang w:eastAsia="cs-CZ"/>
      </w:rPr>
      <w:t xml:space="preserve"> 9/2022</w:t>
    </w:r>
  </w:p>
  <w:p w14:paraId="62ADACB4" w14:textId="3FA956BC" w:rsidR="00370ED4" w:rsidRDefault="00AF21A2" w:rsidP="002B66D6">
    <w:pPr>
      <w:pStyle w:val="Zhlav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 wp14:anchorId="1AD71BBB" wp14:editId="33B0039B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7C3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1A2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52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CD30-0FAA-4D11-9199-85DE8F73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2022-11-28T14:39:00Z</dcterms:created>
  <dcterms:modified xsi:type="dcterms:W3CDTF">2022-11-28T14:39:00Z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